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C0E4" w14:textId="77777777" w:rsidR="00715487" w:rsidRDefault="3DA1A1D4" w:rsidP="3DA1A1D4">
      <w:pPr>
        <w:jc w:val="center"/>
        <w:rPr>
          <w:b/>
          <w:bCs/>
        </w:rPr>
      </w:pPr>
      <w:bookmarkStart w:id="0" w:name="_GoBack"/>
      <w:bookmarkEnd w:id="0"/>
      <w:r w:rsidRPr="3DA1A1D4">
        <w:rPr>
          <w:rFonts w:asciiTheme="majorHAnsi" w:eastAsiaTheme="majorEastAsia" w:hAnsiTheme="majorHAnsi" w:cstheme="majorBidi"/>
          <w:b/>
          <w:bCs/>
          <w:color w:val="521F61" w:themeColor="accent1" w:themeShade="BF"/>
          <w:sz w:val="32"/>
          <w:szCs w:val="32"/>
        </w:rPr>
        <w:t>Tip Sheet for Reporting Youth Engagement Activities in PEARS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787"/>
        <w:gridCol w:w="2520"/>
        <w:gridCol w:w="2610"/>
        <w:gridCol w:w="1980"/>
        <w:gridCol w:w="2520"/>
      </w:tblGrid>
      <w:tr w:rsidR="00EA3D03" w14:paraId="6AA63888" w14:textId="77777777" w:rsidTr="74A78857">
        <w:tc>
          <w:tcPr>
            <w:tcW w:w="1798" w:type="dxa"/>
          </w:tcPr>
          <w:p w14:paraId="0A08CEB6" w14:textId="77777777" w:rsidR="00A804C4" w:rsidRDefault="00A804C4" w:rsidP="007154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87" w:type="dxa"/>
          </w:tcPr>
          <w:p w14:paraId="0EEED477" w14:textId="77777777" w:rsidR="00EA1393" w:rsidRDefault="00A804C4" w:rsidP="007154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Teens as Teachers</w:t>
            </w:r>
            <w:r w:rsidR="00532A09">
              <w:rPr>
                <w:rFonts w:asciiTheme="majorHAnsi" w:hAnsiTheme="majorHAnsi" w:cstheme="majorHAnsi"/>
              </w:rPr>
              <w:t xml:space="preserve"> </w:t>
            </w:r>
          </w:p>
          <w:p w14:paraId="7B59A37B" w14:textId="77777777" w:rsidR="00A804C4" w:rsidRDefault="00532A09" w:rsidP="007154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(TAT)</w:t>
            </w:r>
          </w:p>
        </w:tc>
        <w:tc>
          <w:tcPr>
            <w:tcW w:w="2520" w:type="dxa"/>
          </w:tcPr>
          <w:p w14:paraId="38E1A61D" w14:textId="77777777" w:rsidR="00A804C4" w:rsidRDefault="00A804C4" w:rsidP="007154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Youth-led Participatory Action Research (YPAR)</w:t>
            </w:r>
          </w:p>
        </w:tc>
        <w:tc>
          <w:tcPr>
            <w:tcW w:w="2610" w:type="dxa"/>
          </w:tcPr>
          <w:p w14:paraId="43AE66E6" w14:textId="77777777" w:rsidR="00A804C4" w:rsidRDefault="00A804C4" w:rsidP="007154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 Nutrition Action Committee</w:t>
            </w:r>
            <w:r w:rsidR="00A930DA">
              <w:rPr>
                <w:rFonts w:asciiTheme="majorHAnsi" w:hAnsiTheme="majorHAnsi" w:cstheme="majorHAnsi"/>
              </w:rPr>
              <w:t>/Council</w:t>
            </w:r>
            <w:r>
              <w:rPr>
                <w:rFonts w:asciiTheme="majorHAnsi" w:hAnsiTheme="majorHAnsi" w:cstheme="majorHAnsi"/>
              </w:rPr>
              <w:t xml:space="preserve"> (SNAC)</w:t>
            </w:r>
          </w:p>
        </w:tc>
        <w:tc>
          <w:tcPr>
            <w:tcW w:w="1980" w:type="dxa"/>
          </w:tcPr>
          <w:p w14:paraId="14AE6085" w14:textId="77777777" w:rsidR="00A804C4" w:rsidRDefault="00A804C4" w:rsidP="007154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Healthy Living Ambassadors (HLA)</w:t>
            </w:r>
          </w:p>
        </w:tc>
        <w:tc>
          <w:tcPr>
            <w:tcW w:w="2520" w:type="dxa"/>
          </w:tcPr>
          <w:p w14:paraId="00B9956D" w14:textId="77777777" w:rsidR="00A804C4" w:rsidRDefault="00A804C4" w:rsidP="007154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Potential Youth Engagement Projects</w:t>
            </w:r>
          </w:p>
        </w:tc>
      </w:tr>
      <w:tr w:rsidR="00EA3D03" w14:paraId="209AE412" w14:textId="77777777" w:rsidTr="74A78857">
        <w:tc>
          <w:tcPr>
            <w:tcW w:w="1798" w:type="dxa"/>
          </w:tcPr>
          <w:p w14:paraId="05D3B39F" w14:textId="1925BEAF" w:rsidR="00A804C4" w:rsidRDefault="006342D3" w:rsidP="00715487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A804C4" w:rsidRPr="00AF6F9B">
                <w:rPr>
                  <w:rStyle w:val="Hyperlink"/>
                  <w:rFonts w:asciiTheme="majorHAnsi" w:hAnsiTheme="majorHAnsi" w:cstheme="majorHAnsi"/>
                </w:rPr>
                <w:t>Direct Education</w:t>
              </w:r>
              <w:r w:rsidR="00532A09" w:rsidRPr="00AF6F9B">
                <w:rPr>
                  <w:rStyle w:val="Hyperlink"/>
                  <w:rFonts w:asciiTheme="majorHAnsi" w:hAnsiTheme="majorHAnsi" w:cstheme="majorHAnsi"/>
                </w:rPr>
                <w:t xml:space="preserve"> (DE)</w:t>
              </w:r>
            </w:hyperlink>
          </w:p>
          <w:p w14:paraId="259E7D28" w14:textId="77777777" w:rsidR="00532A09" w:rsidRPr="00532A09" w:rsidRDefault="00532A09" w:rsidP="00715487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32A09">
              <w:rPr>
                <w:rFonts w:asciiTheme="majorHAnsi" w:hAnsiTheme="majorHAnsi" w:cstheme="majorHAnsi"/>
                <w:i/>
              </w:rPr>
              <w:t>(Program Activities)</w:t>
            </w:r>
          </w:p>
        </w:tc>
        <w:tc>
          <w:tcPr>
            <w:tcW w:w="2787" w:type="dxa"/>
          </w:tcPr>
          <w:p w14:paraId="4C342951" w14:textId="3F4A5166" w:rsidR="00A804C4" w:rsidRDefault="00966477" w:rsidP="00532A09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B225BC">
              <w:rPr>
                <w:rFonts w:asciiTheme="majorHAnsi" w:hAnsiTheme="majorHAnsi" w:cstheme="majorHAnsi"/>
              </w:rPr>
              <w:t>rained t</w:t>
            </w:r>
            <w:r w:rsidR="00532A09">
              <w:rPr>
                <w:rFonts w:asciiTheme="majorHAnsi" w:hAnsiTheme="majorHAnsi" w:cstheme="majorHAnsi"/>
              </w:rPr>
              <w:t>eens</w:t>
            </w:r>
            <w:r w:rsidR="00B225BC">
              <w:rPr>
                <w:rFonts w:asciiTheme="majorHAnsi" w:hAnsiTheme="majorHAnsi" w:cstheme="majorHAnsi"/>
              </w:rPr>
              <w:t>/youth</w:t>
            </w:r>
            <w:r w:rsidR="00532A09">
              <w:rPr>
                <w:rFonts w:asciiTheme="majorHAnsi" w:hAnsiTheme="majorHAnsi" w:cstheme="majorHAnsi"/>
              </w:rPr>
              <w:t xml:space="preserve"> serving as teachers/</w:t>
            </w:r>
            <w:r w:rsidR="00B225BC">
              <w:rPr>
                <w:rFonts w:asciiTheme="majorHAnsi" w:hAnsiTheme="majorHAnsi" w:cstheme="majorHAnsi"/>
              </w:rPr>
              <w:t xml:space="preserve"> </w:t>
            </w:r>
            <w:r w:rsidR="00532A09">
              <w:rPr>
                <w:rFonts w:asciiTheme="majorHAnsi" w:hAnsiTheme="majorHAnsi" w:cstheme="majorHAnsi"/>
              </w:rPr>
              <w:t>extenders are captured as youth volunteers.</w:t>
            </w:r>
          </w:p>
          <w:p w14:paraId="0821F4B3" w14:textId="07BD87BB" w:rsidR="004C101D" w:rsidRPr="00966477" w:rsidRDefault="001B49D9" w:rsidP="004C101D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>Series-</w:t>
            </w:r>
            <w:r w:rsidR="00467FBE">
              <w:rPr>
                <w:rFonts w:asciiTheme="majorHAnsi" w:hAnsiTheme="majorHAnsi" w:cstheme="majorHAnsi"/>
              </w:rPr>
              <w:t xml:space="preserve">based </w:t>
            </w:r>
            <w:r w:rsidR="00532A09">
              <w:rPr>
                <w:rFonts w:asciiTheme="majorHAnsi" w:hAnsiTheme="majorHAnsi" w:cstheme="majorHAnsi"/>
              </w:rPr>
              <w:t>DE</w:t>
            </w:r>
            <w:r w:rsidR="00467FBE">
              <w:rPr>
                <w:rFonts w:asciiTheme="majorHAnsi" w:hAnsiTheme="majorHAnsi" w:cstheme="majorHAnsi"/>
              </w:rPr>
              <w:t xml:space="preserve"> using approved curricula</w:t>
            </w:r>
            <w:r w:rsidR="00532A09">
              <w:rPr>
                <w:rFonts w:asciiTheme="majorHAnsi" w:hAnsiTheme="majorHAnsi" w:cstheme="majorHAnsi"/>
              </w:rPr>
              <w:t xml:space="preserve"> delivered to younger youth captured as sessions.</w:t>
            </w:r>
          </w:p>
          <w:p w14:paraId="19B53C90" w14:textId="5D91CF35" w:rsidR="00532A09" w:rsidRPr="00532A09" w:rsidRDefault="27418428" w:rsidP="27418428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Theme="majorHAnsi" w:hAnsiTheme="majorHAnsi" w:cstheme="majorBidi"/>
              </w:rPr>
            </w:pPr>
            <w:r w:rsidRPr="27418428">
              <w:rPr>
                <w:rFonts w:asciiTheme="majorHAnsi" w:hAnsiTheme="majorHAnsi" w:cstheme="majorBidi"/>
              </w:rPr>
              <w:t>Demographics are reported for youth participants receiving the DE</w:t>
            </w:r>
            <w:r w:rsidR="009779E6">
              <w:rPr>
                <w:rFonts w:asciiTheme="majorHAnsi" w:hAnsiTheme="majorHAnsi" w:cstheme="majorBidi"/>
              </w:rPr>
              <w:t xml:space="preserve"> (CDE auto-calculation)</w:t>
            </w:r>
            <w:r w:rsidRPr="27418428">
              <w:rPr>
                <w:rFonts w:asciiTheme="majorHAnsi" w:hAnsiTheme="majorHAnsi" w:cstheme="majorBidi"/>
              </w:rPr>
              <w:t>.</w:t>
            </w:r>
          </w:p>
        </w:tc>
        <w:tc>
          <w:tcPr>
            <w:tcW w:w="2520" w:type="dxa"/>
          </w:tcPr>
          <w:p w14:paraId="58E1295E" w14:textId="77777777" w:rsidR="00A804C4" w:rsidRDefault="004C101D" w:rsidP="002A2D30">
            <w:pPr>
              <w:pStyle w:val="ListParagraph"/>
              <w:numPr>
                <w:ilvl w:val="0"/>
                <w:numId w:val="3"/>
              </w:numPr>
              <w:ind w:left="211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UCCE delivery must include</w:t>
            </w:r>
            <w:r w:rsidR="00B225BC">
              <w:rPr>
                <w:rFonts w:asciiTheme="majorHAnsi" w:hAnsiTheme="majorHAnsi" w:cstheme="majorHAnsi"/>
              </w:rPr>
              <w:t xml:space="preserve"> </w:t>
            </w:r>
            <w:r w:rsidR="002A2D30">
              <w:rPr>
                <w:rFonts w:asciiTheme="majorHAnsi" w:hAnsiTheme="majorHAnsi" w:cstheme="majorHAnsi"/>
              </w:rPr>
              <w:t xml:space="preserve">an activity from </w:t>
            </w:r>
            <w:r w:rsidR="00B225BC">
              <w:rPr>
                <w:rFonts w:asciiTheme="majorHAnsi" w:hAnsiTheme="majorHAnsi" w:cstheme="majorHAnsi"/>
              </w:rPr>
              <w:t xml:space="preserve">the </w:t>
            </w:r>
            <w:r w:rsidR="002A2D30">
              <w:rPr>
                <w:rFonts w:asciiTheme="majorHAnsi" w:hAnsiTheme="majorHAnsi" w:cstheme="majorHAnsi"/>
              </w:rPr>
              <w:t>Stepping Stones YPAR Framework.</w:t>
            </w:r>
          </w:p>
          <w:p w14:paraId="50FCD8CF" w14:textId="77777777" w:rsidR="002A2D30" w:rsidRPr="002A2D30" w:rsidRDefault="002A2D30" w:rsidP="002A2D30">
            <w:pPr>
              <w:pStyle w:val="ListParagraph"/>
              <w:numPr>
                <w:ilvl w:val="0"/>
                <w:numId w:val="3"/>
              </w:numPr>
              <w:ind w:left="211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entire session time is reported</w:t>
            </w:r>
            <w:r w:rsidR="00B225BC">
              <w:rPr>
                <w:rFonts w:asciiTheme="majorHAnsi" w:hAnsiTheme="majorHAnsi" w:cstheme="majorHAnsi"/>
              </w:rPr>
              <w:t xml:space="preserve"> as DE,</w:t>
            </w:r>
            <w:r>
              <w:rPr>
                <w:rFonts w:asciiTheme="majorHAnsi" w:hAnsiTheme="majorHAnsi" w:cstheme="majorHAnsi"/>
              </w:rPr>
              <w:t xml:space="preserve"> if </w:t>
            </w:r>
            <w:r w:rsidR="00B225BC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additional supplemental activities support concepts of Stepping Stones activities and are allowable per SNAP-Ed Guidance.</w:t>
            </w:r>
          </w:p>
        </w:tc>
        <w:tc>
          <w:tcPr>
            <w:tcW w:w="2610" w:type="dxa"/>
          </w:tcPr>
          <w:p w14:paraId="0F1658FD" w14:textId="77777777" w:rsidR="00A804C4" w:rsidRPr="00EA3D03" w:rsidRDefault="00EA3D03" w:rsidP="00EA3D03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</w:t>
            </w:r>
            <w:r w:rsidR="00B225BC">
              <w:rPr>
                <w:rFonts w:asciiTheme="majorHAnsi" w:hAnsiTheme="majorHAnsi" w:cstheme="majorHAnsi"/>
              </w:rPr>
              <w:t xml:space="preserve">trained </w:t>
            </w:r>
            <w:r>
              <w:rPr>
                <w:rFonts w:asciiTheme="majorHAnsi" w:hAnsiTheme="majorHAnsi" w:cstheme="majorHAnsi"/>
              </w:rPr>
              <w:t>SNAC youth deliver approved-curriculum lessons to other youth, follow DE process for TAT.</w:t>
            </w:r>
          </w:p>
        </w:tc>
        <w:tc>
          <w:tcPr>
            <w:tcW w:w="1980" w:type="dxa"/>
          </w:tcPr>
          <w:p w14:paraId="6760A8F1" w14:textId="77777777" w:rsidR="00A804C4" w:rsidRPr="00EA3D03" w:rsidRDefault="00EA3D03" w:rsidP="00EA3D03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</w:t>
            </w:r>
            <w:r w:rsidR="00B225BC">
              <w:rPr>
                <w:rFonts w:asciiTheme="majorHAnsi" w:hAnsiTheme="majorHAnsi" w:cstheme="majorHAnsi"/>
              </w:rPr>
              <w:t xml:space="preserve">trained </w:t>
            </w:r>
            <w:r>
              <w:rPr>
                <w:rFonts w:asciiTheme="majorHAnsi" w:hAnsiTheme="majorHAnsi" w:cstheme="majorHAnsi"/>
              </w:rPr>
              <w:t>HLA y</w:t>
            </w:r>
            <w:r w:rsidR="00D86992">
              <w:rPr>
                <w:rFonts w:asciiTheme="majorHAnsi" w:hAnsiTheme="majorHAnsi" w:cstheme="majorHAnsi"/>
              </w:rPr>
              <w:t>outh deliver approved-curriculum</w:t>
            </w:r>
            <w:r>
              <w:rPr>
                <w:rFonts w:asciiTheme="majorHAnsi" w:hAnsiTheme="majorHAnsi" w:cstheme="majorHAnsi"/>
              </w:rPr>
              <w:t xml:space="preserve"> lessons to other youth, follow DE process for TAT.</w:t>
            </w:r>
          </w:p>
        </w:tc>
        <w:tc>
          <w:tcPr>
            <w:tcW w:w="2520" w:type="dxa"/>
          </w:tcPr>
          <w:p w14:paraId="023E06E3" w14:textId="77777777" w:rsidR="00EA3D03" w:rsidRPr="00EA3D03" w:rsidRDefault="00EA3D03" w:rsidP="00C71540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When</w:t>
            </w:r>
            <w:r w:rsidR="00B225BC">
              <w:rPr>
                <w:rFonts w:asciiTheme="majorHAnsi" w:hAnsiTheme="majorHAnsi" w:cstheme="majorHAnsi"/>
              </w:rPr>
              <w:t xml:space="preserve"> trained</w:t>
            </w:r>
            <w:r>
              <w:rPr>
                <w:rFonts w:asciiTheme="majorHAnsi" w:hAnsiTheme="majorHAnsi" w:cstheme="majorHAnsi"/>
              </w:rPr>
              <w:t xml:space="preserve"> youth serve as teachers/</w:t>
            </w:r>
            <w:r w:rsidR="00B225B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extenders, delivering</w:t>
            </w:r>
            <w:r w:rsidR="00B225BC">
              <w:rPr>
                <w:rFonts w:asciiTheme="majorHAnsi" w:hAnsiTheme="majorHAnsi" w:cstheme="majorHAnsi"/>
              </w:rPr>
              <w:t xml:space="preserve"> </w:t>
            </w:r>
            <w:r w:rsidR="004C101D">
              <w:rPr>
                <w:rFonts w:asciiTheme="majorHAnsi" w:hAnsiTheme="majorHAnsi" w:cstheme="majorHAnsi"/>
              </w:rPr>
              <w:t>lessons</w:t>
            </w:r>
            <w:r w:rsidR="00B225B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from approved curricula to other youth</w:t>
            </w:r>
            <w:r w:rsidR="00B225BC">
              <w:rPr>
                <w:rFonts w:asciiTheme="majorHAnsi" w:hAnsiTheme="majorHAnsi" w:cstheme="majorHAnsi"/>
              </w:rPr>
              <w:t>, follow DE process for TAT.</w:t>
            </w:r>
          </w:p>
        </w:tc>
      </w:tr>
      <w:tr w:rsidR="00EA3D03" w14:paraId="004DEF04" w14:textId="77777777" w:rsidTr="74A78857">
        <w:tc>
          <w:tcPr>
            <w:tcW w:w="1798" w:type="dxa"/>
          </w:tcPr>
          <w:p w14:paraId="712C4375" w14:textId="38AF2C45" w:rsidR="00A804C4" w:rsidRDefault="006342D3" w:rsidP="00715487">
            <w:pPr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5318F2">
                <w:rPr>
                  <w:rStyle w:val="Hyperlink"/>
                  <w:rFonts w:asciiTheme="majorHAnsi" w:hAnsiTheme="majorHAnsi" w:cstheme="majorHAnsi"/>
                </w:rPr>
                <w:t>Policy, Systems, and Environmental (PSE) Efforts</w:t>
              </w:r>
            </w:hyperlink>
          </w:p>
          <w:p w14:paraId="4A24C3D5" w14:textId="77777777" w:rsidR="00532A09" w:rsidRPr="00532A09" w:rsidRDefault="00532A09" w:rsidP="00715487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32A09">
              <w:rPr>
                <w:rFonts w:asciiTheme="majorHAnsi" w:hAnsiTheme="majorHAnsi" w:cstheme="majorHAnsi"/>
                <w:i/>
              </w:rPr>
              <w:t>(PSE Site Activities)</w:t>
            </w:r>
          </w:p>
        </w:tc>
        <w:tc>
          <w:tcPr>
            <w:tcW w:w="2787" w:type="dxa"/>
          </w:tcPr>
          <w:p w14:paraId="375704AB" w14:textId="533A271D" w:rsidR="00665780" w:rsidRPr="00B95D5F" w:rsidRDefault="00B95D5F" w:rsidP="00E31365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Theme="majorHAnsi" w:hAnsiTheme="majorHAnsi" w:cstheme="majorHAnsi"/>
              </w:rPr>
            </w:pPr>
            <w:r w:rsidRPr="00B95D5F">
              <w:rPr>
                <w:rFonts w:asciiTheme="majorHAnsi" w:hAnsiTheme="majorHAnsi" w:cstheme="majorHAnsi"/>
              </w:rPr>
              <w:t>Unlikely TAT programming shapes PSE work; contact the CFHL, UC State Office for questions and to discuss further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20" w:type="dxa"/>
          </w:tcPr>
          <w:p w14:paraId="205AD9F5" w14:textId="4CC96EE3" w:rsidR="00A804C4" w:rsidRPr="00665780" w:rsidRDefault="001E6923" w:rsidP="00E56AF6">
            <w:pPr>
              <w:pStyle w:val="ListParagraph"/>
              <w:numPr>
                <w:ilvl w:val="0"/>
                <w:numId w:val="4"/>
              </w:numPr>
              <w:ind w:left="241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When YPAR project </w:t>
            </w:r>
            <w:r w:rsidR="00863E09">
              <w:rPr>
                <w:rFonts w:asciiTheme="majorHAnsi" w:hAnsiTheme="majorHAnsi" w:cstheme="majorHAnsi"/>
              </w:rPr>
              <w:t xml:space="preserve">pertains to </w:t>
            </w:r>
            <w:r>
              <w:rPr>
                <w:rFonts w:asciiTheme="majorHAnsi" w:hAnsiTheme="majorHAnsi" w:cstheme="majorHAnsi"/>
              </w:rPr>
              <w:t xml:space="preserve">PSE </w:t>
            </w:r>
            <w:r w:rsidR="00863E09">
              <w:rPr>
                <w:rFonts w:asciiTheme="majorHAnsi" w:hAnsiTheme="majorHAnsi" w:cstheme="majorHAnsi"/>
              </w:rPr>
              <w:t xml:space="preserve">planning or </w:t>
            </w:r>
            <w:r w:rsidR="00E56AF6">
              <w:rPr>
                <w:rFonts w:asciiTheme="majorHAnsi" w:hAnsiTheme="majorHAnsi" w:cstheme="majorHAnsi"/>
              </w:rPr>
              <w:t xml:space="preserve">implementation </w:t>
            </w:r>
            <w:r>
              <w:rPr>
                <w:rFonts w:asciiTheme="majorHAnsi" w:hAnsiTheme="majorHAnsi" w:cstheme="majorHAnsi"/>
              </w:rPr>
              <w:t xml:space="preserve">(e.g. </w:t>
            </w:r>
            <w:r w:rsidR="00863E09">
              <w:rPr>
                <w:rFonts w:asciiTheme="majorHAnsi" w:hAnsiTheme="majorHAnsi" w:cstheme="majorHAnsi"/>
              </w:rPr>
              <w:t xml:space="preserve">survey about drinking fountain use to inform possible </w:t>
            </w:r>
            <w:r>
              <w:rPr>
                <w:rFonts w:asciiTheme="majorHAnsi" w:hAnsiTheme="majorHAnsi" w:cstheme="majorHAnsi"/>
              </w:rPr>
              <w:t>hydration stations</w:t>
            </w:r>
            <w:r w:rsidR="00863E09">
              <w:rPr>
                <w:rFonts w:asciiTheme="majorHAnsi" w:hAnsiTheme="majorHAnsi" w:cstheme="majorHAnsi"/>
              </w:rPr>
              <w:t>, garden design and mapping,</w:t>
            </w:r>
            <w:r>
              <w:rPr>
                <w:rFonts w:asciiTheme="majorHAnsi" w:hAnsiTheme="majorHAnsi" w:cstheme="majorHAnsi"/>
              </w:rPr>
              <w:t xml:space="preserve"> school passes a policy informed by photo voice,</w:t>
            </w:r>
            <w:r w:rsidR="00E56AF6">
              <w:rPr>
                <w:rFonts w:asciiTheme="majorHAnsi" w:hAnsiTheme="majorHAnsi" w:cstheme="majorHAnsi"/>
              </w:rPr>
              <w:t xml:space="preserve"> etc.</w:t>
            </w:r>
            <w:r>
              <w:rPr>
                <w:rFonts w:asciiTheme="majorHAnsi" w:hAnsiTheme="majorHAnsi" w:cstheme="majorHAnsi"/>
              </w:rPr>
              <w:t>) include in PEARS.</w:t>
            </w:r>
          </w:p>
        </w:tc>
        <w:tc>
          <w:tcPr>
            <w:tcW w:w="2610" w:type="dxa"/>
          </w:tcPr>
          <w:p w14:paraId="58684A91" w14:textId="086CB426" w:rsidR="00A804C4" w:rsidRPr="001E6923" w:rsidRDefault="001E6923" w:rsidP="00E56AF6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When SNAC youth work </w:t>
            </w:r>
            <w:r w:rsidR="00863E09">
              <w:rPr>
                <w:rFonts w:asciiTheme="majorHAnsi" w:hAnsiTheme="majorHAnsi" w:cstheme="majorHAnsi"/>
              </w:rPr>
              <w:t>relate</w:t>
            </w:r>
            <w:r w:rsidR="00E56AF6">
              <w:rPr>
                <w:rFonts w:asciiTheme="majorHAnsi" w:hAnsiTheme="majorHAnsi" w:cstheme="majorHAnsi"/>
              </w:rPr>
              <w:t>s</w:t>
            </w:r>
            <w:r w:rsidR="00863E09">
              <w:rPr>
                <w:rFonts w:asciiTheme="majorHAnsi" w:hAnsiTheme="majorHAnsi" w:cstheme="majorHAnsi"/>
              </w:rPr>
              <w:t xml:space="preserve"> to </w:t>
            </w:r>
            <w:r>
              <w:rPr>
                <w:rFonts w:asciiTheme="majorHAnsi" w:hAnsiTheme="majorHAnsi" w:cstheme="majorHAnsi"/>
              </w:rPr>
              <w:t>PSE e</w:t>
            </w:r>
            <w:r w:rsidR="00E56AF6">
              <w:rPr>
                <w:rFonts w:asciiTheme="majorHAnsi" w:hAnsiTheme="majorHAnsi" w:cstheme="majorHAnsi"/>
              </w:rPr>
              <w:t>fforts</w:t>
            </w:r>
            <w:r>
              <w:rPr>
                <w:rFonts w:asciiTheme="majorHAnsi" w:hAnsiTheme="majorHAnsi" w:cstheme="majorHAnsi"/>
              </w:rPr>
              <w:t xml:space="preserve"> (e.g. policy </w:t>
            </w:r>
            <w:r w:rsidR="004D3DCB">
              <w:rPr>
                <w:rFonts w:asciiTheme="majorHAnsi" w:hAnsiTheme="majorHAnsi" w:cstheme="majorHAnsi"/>
              </w:rPr>
              <w:t>on</w:t>
            </w:r>
            <w:r>
              <w:rPr>
                <w:rFonts w:asciiTheme="majorHAnsi" w:hAnsiTheme="majorHAnsi" w:cstheme="majorHAnsi"/>
              </w:rPr>
              <w:t xml:space="preserve"> time for eating during lunch, </w:t>
            </w:r>
            <w:r w:rsidR="00863E09">
              <w:rPr>
                <w:rFonts w:asciiTheme="majorHAnsi" w:hAnsiTheme="majorHAnsi" w:cstheme="majorHAnsi"/>
              </w:rPr>
              <w:t>conducting cafeteria taste tests with Food Service Program</w:t>
            </w:r>
            <w:r w:rsidR="00E56AF6">
              <w:rPr>
                <w:rFonts w:asciiTheme="majorHAnsi" w:hAnsiTheme="majorHAnsi" w:cstheme="majorHAnsi"/>
              </w:rPr>
              <w:t xml:space="preserve"> (FSP)</w:t>
            </w:r>
            <w:r w:rsidR="00863E09">
              <w:rPr>
                <w:rFonts w:asciiTheme="majorHAnsi" w:hAnsiTheme="majorHAnsi" w:cstheme="majorHAnsi"/>
              </w:rPr>
              <w:t xml:space="preserve">, </w:t>
            </w:r>
            <w:r w:rsidR="00E56AF6">
              <w:rPr>
                <w:rFonts w:asciiTheme="majorHAnsi" w:hAnsiTheme="majorHAnsi" w:cstheme="majorHAnsi"/>
              </w:rPr>
              <w:t>FSP begins serving CA</w:t>
            </w:r>
            <w:r>
              <w:rPr>
                <w:rFonts w:asciiTheme="majorHAnsi" w:hAnsiTheme="majorHAnsi" w:cstheme="majorHAnsi"/>
              </w:rPr>
              <w:t xml:space="preserve"> produce at least one day per week due to survey results, mural and/or visuals in cafeteria, etc</w:t>
            </w:r>
            <w:r w:rsidR="00E56AF6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) include in PEARS.</w:t>
            </w:r>
          </w:p>
        </w:tc>
        <w:tc>
          <w:tcPr>
            <w:tcW w:w="1980" w:type="dxa"/>
          </w:tcPr>
          <w:p w14:paraId="34019037" w14:textId="77777777" w:rsidR="00A804C4" w:rsidRPr="001E6923" w:rsidRDefault="001E6923" w:rsidP="001E692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When HLA youth are responsible for planning, implementation, and/or sustainability of a garden as part of their work, include in PEARS.</w:t>
            </w:r>
          </w:p>
        </w:tc>
        <w:tc>
          <w:tcPr>
            <w:tcW w:w="2520" w:type="dxa"/>
          </w:tcPr>
          <w:p w14:paraId="3B066B44" w14:textId="065FFB9F" w:rsidR="00A804C4" w:rsidRPr="001E6923" w:rsidRDefault="74A78857" w:rsidP="1DBF3E26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Theme="majorHAnsi" w:hAnsiTheme="majorHAnsi" w:cstheme="majorBidi"/>
              </w:rPr>
            </w:pPr>
            <w:r w:rsidRPr="74A78857">
              <w:rPr>
                <w:rFonts w:asciiTheme="majorHAnsi" w:hAnsiTheme="majorHAnsi" w:cstheme="majorBidi"/>
              </w:rPr>
              <w:t>When the work of young people involved in a youth engagement project contributes to the planning, implementation or active maintenance of PSE changes, report the youth supported PSE effort in PEARS.</w:t>
            </w:r>
          </w:p>
        </w:tc>
      </w:tr>
    </w:tbl>
    <w:p w14:paraId="6065C1F9" w14:textId="48C0BE26" w:rsidR="00B20DDD" w:rsidRPr="00CD65C4" w:rsidRDefault="00B20DDD" w:rsidP="00CD65C4">
      <w:pPr>
        <w:pStyle w:val="Heading1"/>
        <w:rPr>
          <w:b/>
          <w:bCs/>
        </w:rPr>
      </w:pPr>
      <w:r w:rsidRPr="00CD65C4">
        <w:rPr>
          <w:b/>
          <w:bCs/>
        </w:rPr>
        <w:lastRenderedPageBreak/>
        <w:t>Reporting</w:t>
      </w:r>
      <w:r w:rsidR="00BD54E4" w:rsidRPr="00CD65C4">
        <w:rPr>
          <w:b/>
          <w:bCs/>
        </w:rPr>
        <w:t xml:space="preserve"> Youth Engagement </w:t>
      </w:r>
      <w:r w:rsidR="001A7FA1" w:rsidRPr="00CD65C4">
        <w:rPr>
          <w:b/>
          <w:bCs/>
        </w:rPr>
        <w:t>in PEARS Program Activities</w:t>
      </w:r>
      <w:r w:rsidR="00CD65C4">
        <w:rPr>
          <w:b/>
          <w:bCs/>
        </w:rPr>
        <w:t xml:space="preserve"> (DE)</w:t>
      </w:r>
      <w:r w:rsidRPr="00CD65C4">
        <w:rPr>
          <w:b/>
          <w:bCs/>
        </w:rPr>
        <w:t>:</w:t>
      </w:r>
    </w:p>
    <w:p w14:paraId="4C4BFBE5" w14:textId="77777777" w:rsidR="00B20DDD" w:rsidRDefault="00B20DDD" w:rsidP="00B20D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B20DDD">
        <w:rPr>
          <w:rFonts w:asciiTheme="majorHAnsi" w:hAnsiTheme="majorHAnsi" w:cstheme="majorHAnsi"/>
          <w:bCs/>
          <w:i/>
          <w:iCs/>
        </w:rPr>
        <w:t>In</w:t>
      </w:r>
      <w:r w:rsidRPr="00B20DDD">
        <w:rPr>
          <w:rFonts w:asciiTheme="majorHAnsi" w:hAnsiTheme="majorHAnsi" w:cstheme="majorHAnsi"/>
          <w:b/>
          <w:i/>
          <w:iCs/>
        </w:rPr>
        <w:t xml:space="preserve"> </w:t>
      </w:r>
      <w:r w:rsidR="001A7FA1" w:rsidRPr="00B20DDD">
        <w:rPr>
          <w:rFonts w:asciiTheme="majorHAnsi" w:hAnsiTheme="majorHAnsi" w:cstheme="majorHAnsi"/>
          <w:b/>
          <w:i/>
          <w:iCs/>
        </w:rPr>
        <w:t>Program Activity Information</w:t>
      </w:r>
      <w:r w:rsidR="001A7FA1" w:rsidRPr="00B20DDD">
        <w:rPr>
          <w:rFonts w:asciiTheme="majorHAnsi" w:hAnsiTheme="majorHAnsi" w:cstheme="majorHAnsi"/>
          <w:i/>
          <w:iCs/>
        </w:rPr>
        <w:t xml:space="preserve"> </w:t>
      </w:r>
      <w:r w:rsidRPr="00B20DDD">
        <w:rPr>
          <w:rFonts w:asciiTheme="majorHAnsi" w:hAnsiTheme="majorHAnsi" w:cstheme="majorHAnsi"/>
          <w:i/>
          <w:iCs/>
        </w:rPr>
        <w:t>section under volunteers</w:t>
      </w:r>
      <w:r w:rsidR="001A7FA1" w:rsidRPr="00B20DDD">
        <w:rPr>
          <w:rFonts w:asciiTheme="majorHAnsi" w:hAnsiTheme="majorHAnsi" w:cstheme="majorHAnsi"/>
          <w:i/>
          <w:iCs/>
        </w:rPr>
        <w:t xml:space="preserve"> slide the green bar over to </w:t>
      </w:r>
      <w:r w:rsidRPr="00B20DDD">
        <w:rPr>
          <w:rFonts w:asciiTheme="majorHAnsi" w:hAnsiTheme="majorHAnsi" w:cstheme="majorHAnsi"/>
          <w:i/>
          <w:iCs/>
        </w:rPr>
        <w:t>indicate</w:t>
      </w:r>
      <w:r w:rsidR="001A7FA1" w:rsidRPr="00B20DDD">
        <w:rPr>
          <w:rFonts w:asciiTheme="majorHAnsi" w:hAnsiTheme="majorHAnsi" w:cstheme="majorHAnsi"/>
          <w:i/>
          <w:iCs/>
        </w:rPr>
        <w:t xml:space="preserve"> that </w:t>
      </w:r>
      <w:r w:rsidR="001A7FA1" w:rsidRPr="00B20DDD">
        <w:rPr>
          <w:rFonts w:asciiTheme="majorHAnsi" w:hAnsiTheme="majorHAnsi" w:cstheme="majorHAnsi"/>
          <w:b/>
          <w:bCs/>
          <w:i/>
          <w:iCs/>
        </w:rPr>
        <w:t>Youth Peer Volunteers</w:t>
      </w:r>
      <w:r w:rsidR="001A7FA1" w:rsidRPr="00B20DDD">
        <w:rPr>
          <w:rFonts w:asciiTheme="majorHAnsi" w:hAnsiTheme="majorHAnsi" w:cstheme="majorHAnsi"/>
          <w:i/>
          <w:iCs/>
        </w:rPr>
        <w:t xml:space="preserve"> </w:t>
      </w:r>
      <w:r w:rsidRPr="00B20DDD">
        <w:rPr>
          <w:rFonts w:asciiTheme="majorHAnsi" w:hAnsiTheme="majorHAnsi" w:cstheme="majorHAnsi"/>
          <w:i/>
          <w:iCs/>
        </w:rPr>
        <w:t>were i</w:t>
      </w:r>
      <w:r w:rsidR="001A7FA1" w:rsidRPr="00B20DDD">
        <w:rPr>
          <w:rFonts w:asciiTheme="majorHAnsi" w:hAnsiTheme="majorHAnsi" w:cstheme="majorHAnsi"/>
          <w:i/>
          <w:iCs/>
        </w:rPr>
        <w:t>nvolved</w:t>
      </w:r>
      <w:r w:rsidR="00BF662F" w:rsidRPr="00B20DDD">
        <w:rPr>
          <w:rFonts w:asciiTheme="majorHAnsi" w:hAnsiTheme="majorHAnsi" w:cstheme="majorHAnsi"/>
          <w:i/>
          <w:iCs/>
        </w:rPr>
        <w:t xml:space="preserve"> </w:t>
      </w:r>
      <w:r w:rsidRPr="00B20DDD">
        <w:rPr>
          <w:rFonts w:asciiTheme="majorHAnsi" w:hAnsiTheme="majorHAnsi" w:cstheme="majorHAnsi"/>
          <w:i/>
          <w:iCs/>
        </w:rPr>
        <w:t xml:space="preserve">in all or part of the Program Activity (DE). </w:t>
      </w:r>
    </w:p>
    <w:p w14:paraId="0035BC09" w14:textId="0579DAB0" w:rsidR="001A7FA1" w:rsidRPr="00B20DDD" w:rsidRDefault="00B20DDD" w:rsidP="00B20D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In the Comments section </w:t>
      </w:r>
      <w:r w:rsidR="00BF662F" w:rsidRPr="00B20DDD">
        <w:rPr>
          <w:rFonts w:asciiTheme="majorHAnsi" w:hAnsiTheme="majorHAnsi" w:cstheme="majorHAnsi"/>
          <w:i/>
          <w:iCs/>
        </w:rPr>
        <w:t>i</w:t>
      </w:r>
      <w:r w:rsidR="00BD54E4" w:rsidRPr="00B20DDD">
        <w:rPr>
          <w:rFonts w:asciiTheme="majorHAnsi" w:hAnsiTheme="majorHAnsi" w:cstheme="majorHAnsi"/>
          <w:i/>
          <w:iCs/>
        </w:rPr>
        <w:t xml:space="preserve">nclude </w:t>
      </w:r>
      <w:r w:rsidR="00BF662F" w:rsidRPr="00B20DDD">
        <w:rPr>
          <w:rFonts w:asciiTheme="majorHAnsi" w:hAnsiTheme="majorHAnsi" w:cstheme="majorHAnsi"/>
          <w:i/>
          <w:iCs/>
        </w:rPr>
        <w:t xml:space="preserve">a brief description of the </w:t>
      </w:r>
      <w:r w:rsidR="00BF662F" w:rsidRPr="00B20DDD">
        <w:rPr>
          <w:rFonts w:asciiTheme="majorHAnsi" w:hAnsiTheme="majorHAnsi" w:cstheme="majorHAnsi"/>
          <w:b/>
          <w:bCs/>
          <w:i/>
          <w:iCs/>
        </w:rPr>
        <w:t>Youth Peer Volunteer involvement</w:t>
      </w:r>
      <w:r w:rsidR="00BD54E4" w:rsidRPr="00B20DDD">
        <w:rPr>
          <w:rFonts w:asciiTheme="majorHAnsi" w:hAnsiTheme="majorHAnsi" w:cstheme="majorHAnsi"/>
          <w:i/>
          <w:iCs/>
        </w:rPr>
        <w:t>.</w:t>
      </w:r>
    </w:p>
    <w:p w14:paraId="287B5081" w14:textId="3B3EC704" w:rsidR="001A7FA1" w:rsidRDefault="00CD65C4" w:rsidP="00CD65C4">
      <w:pPr>
        <w:ind w:left="360" w:firstLine="720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4B23" wp14:editId="10852BC9">
                <wp:simplePos x="0" y="0"/>
                <wp:positionH relativeFrom="column">
                  <wp:posOffset>5947410</wp:posOffset>
                </wp:positionH>
                <wp:positionV relativeFrom="paragraph">
                  <wp:posOffset>403860</wp:posOffset>
                </wp:positionV>
                <wp:extent cx="1416050" cy="182880"/>
                <wp:effectExtent l="19050" t="19050" r="1270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828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6" style="position:absolute;margin-left:468.3pt;margin-top:31.8pt;width:1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ae292f [3208]" strokeweight="2.25pt" arcsize="10923f" w14:anchorId="06431B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EC25" wp14:editId="7265B945">
                <wp:simplePos x="0" y="0"/>
                <wp:positionH relativeFrom="column">
                  <wp:posOffset>697230</wp:posOffset>
                </wp:positionH>
                <wp:positionV relativeFrom="paragraph">
                  <wp:posOffset>624840</wp:posOffset>
                </wp:positionV>
                <wp:extent cx="4820285" cy="742950"/>
                <wp:effectExtent l="19050" t="19050" r="1841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285" cy="7429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4" style="position:absolute;margin-left:54.9pt;margin-top:49.2pt;width:379.5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6f2a83 [3204]" strokeweight="2.25pt" arcsize="10923f" w14:anchorId="47B43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">
                <v:stroke joinstyle="miter"/>
              </v:roundrect>
            </w:pict>
          </mc:Fallback>
        </mc:AlternateContent>
      </w:r>
      <w:r w:rsidR="001A7FA1">
        <w:rPr>
          <w:noProof/>
        </w:rPr>
        <w:drawing>
          <wp:inline distT="0" distB="0" distL="0" distR="0" wp14:anchorId="00BA6E03" wp14:editId="0B1B10BB">
            <wp:extent cx="4820758" cy="1302588"/>
            <wp:effectExtent l="19050" t="19050" r="1841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579"/>
                    <a:stretch/>
                  </pic:blipFill>
                  <pic:spPr bwMode="auto">
                    <a:xfrm>
                      <a:off x="0" y="0"/>
                      <a:ext cx="5131202" cy="13864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ab/>
      </w:r>
      <w:r w:rsidR="00B20DDD">
        <w:rPr>
          <w:noProof/>
        </w:rPr>
        <w:drawing>
          <wp:inline distT="0" distB="0" distL="0" distR="0" wp14:anchorId="58D5021F" wp14:editId="22287D7A">
            <wp:extent cx="1377950" cy="1314711"/>
            <wp:effectExtent l="19050" t="19050" r="127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865" t="6722" r="5605" b="5500"/>
                    <a:stretch/>
                  </pic:blipFill>
                  <pic:spPr bwMode="auto">
                    <a:xfrm>
                      <a:off x="0" y="0"/>
                      <a:ext cx="1414163" cy="1349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D1B62" w14:textId="590C2FF6" w:rsidR="00CD65C4" w:rsidRPr="00CD65C4" w:rsidRDefault="00CD65C4" w:rsidP="00CD65C4">
      <w:pPr>
        <w:pStyle w:val="Heading1"/>
        <w:rPr>
          <w:b/>
          <w:bCs/>
        </w:rPr>
      </w:pPr>
      <w:r w:rsidRPr="00CD65C4">
        <w:rPr>
          <w:b/>
          <w:bCs/>
        </w:rPr>
        <w:t xml:space="preserve">Reporting Youth Engagement in PEARS </w:t>
      </w:r>
      <w:r>
        <w:rPr>
          <w:b/>
          <w:bCs/>
        </w:rPr>
        <w:t>PSE</w:t>
      </w:r>
      <w:r w:rsidRPr="00CD65C4">
        <w:rPr>
          <w:b/>
          <w:bCs/>
        </w:rPr>
        <w:t xml:space="preserve"> Activities:</w:t>
      </w:r>
    </w:p>
    <w:p w14:paraId="3E71CC41" w14:textId="02B4E505" w:rsidR="004C101D" w:rsidRPr="00CD65C4" w:rsidRDefault="00B20DDD" w:rsidP="00CD65C4">
      <w:pPr>
        <w:spacing w:after="0"/>
        <w:rPr>
          <w:rFonts w:asciiTheme="majorHAnsi" w:hAnsiTheme="majorHAnsi" w:cstheme="majorBidi"/>
          <w:b/>
          <w:bCs/>
        </w:rPr>
      </w:pPr>
      <w:r w:rsidRPr="00CD65C4">
        <w:rPr>
          <w:rFonts w:asciiTheme="majorHAnsi" w:hAnsiTheme="majorHAnsi" w:cstheme="majorBidi"/>
          <w:b/>
          <w:bCs/>
        </w:rPr>
        <w:t>Demographics</w:t>
      </w:r>
    </w:p>
    <w:p w14:paraId="2EB5A032" w14:textId="77777777" w:rsidR="0069561F" w:rsidRDefault="005D4514" w:rsidP="00BF662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Only report</w:t>
      </w:r>
      <w:r w:rsidR="0069561F">
        <w:rPr>
          <w:rFonts w:asciiTheme="majorHAnsi" w:hAnsiTheme="majorHAnsi" w:cstheme="majorHAnsi"/>
        </w:rPr>
        <w:t xml:space="preserve"> the number of youth actively involved in </w:t>
      </w:r>
      <w:r w:rsidR="0069561F" w:rsidRPr="0069561F">
        <w:rPr>
          <w:rFonts w:asciiTheme="majorHAnsi" w:hAnsiTheme="majorHAnsi" w:cstheme="majorHAnsi"/>
          <w:b/>
          <w:i/>
        </w:rPr>
        <w:t>shaping</w:t>
      </w:r>
      <w:r w:rsidR="0069561F">
        <w:rPr>
          <w:rFonts w:asciiTheme="majorHAnsi" w:hAnsiTheme="majorHAnsi" w:cstheme="majorHAnsi"/>
        </w:rPr>
        <w:t xml:space="preserve"> the PSE – </w:t>
      </w:r>
      <w:r>
        <w:rPr>
          <w:rFonts w:asciiTheme="majorHAnsi" w:hAnsiTheme="majorHAnsi" w:cstheme="majorHAnsi"/>
        </w:rPr>
        <w:t xml:space="preserve">do </w:t>
      </w:r>
      <w:r w:rsidR="0069561F" w:rsidRPr="0069561F">
        <w:rPr>
          <w:rFonts w:asciiTheme="majorHAnsi" w:hAnsiTheme="majorHAnsi" w:cstheme="majorHAnsi"/>
          <w:u w:val="single"/>
        </w:rPr>
        <w:t>not</w:t>
      </w:r>
      <w:r>
        <w:rPr>
          <w:rFonts w:asciiTheme="majorHAnsi" w:hAnsiTheme="majorHAnsi" w:cstheme="majorHAnsi"/>
        </w:rPr>
        <w:t xml:space="preserve"> report</w:t>
      </w:r>
      <w:r w:rsidR="0069561F">
        <w:rPr>
          <w:rFonts w:asciiTheme="majorHAnsi" w:hAnsiTheme="majorHAnsi" w:cstheme="majorHAnsi"/>
        </w:rPr>
        <w:t xml:space="preserve"> the number of youth reached by the PSE.</w:t>
      </w:r>
    </w:p>
    <w:p w14:paraId="268B3269" w14:textId="5A47ED2D" w:rsidR="37C51FA6" w:rsidRDefault="37C51FA6" w:rsidP="37C51FA6">
      <w:pPr>
        <w:pStyle w:val="ListParagraph"/>
        <w:numPr>
          <w:ilvl w:val="0"/>
          <w:numId w:val="5"/>
        </w:numPr>
        <w:rPr>
          <w:rFonts w:asciiTheme="majorHAnsi" w:hAnsiTheme="majorHAnsi" w:cstheme="majorBidi"/>
        </w:rPr>
      </w:pPr>
      <w:r w:rsidRPr="37C51FA6">
        <w:rPr>
          <w:rFonts w:asciiTheme="majorHAnsi" w:hAnsiTheme="majorHAnsi" w:cstheme="majorBidi"/>
        </w:rPr>
        <w:t>Include in the comments section the youth-led PSE for that site and a brief description of the youth-led activity.</w:t>
      </w:r>
    </w:p>
    <w:p w14:paraId="3CEBD8C1" w14:textId="72719BE8" w:rsidR="0069561F" w:rsidRDefault="0069561F" w:rsidP="00CD65C4">
      <w:pPr>
        <w:pStyle w:val="NoSpacing"/>
      </w:pPr>
      <w:r>
        <w:t>Where to indicate youth involvement in PSEs in PEARS</w:t>
      </w:r>
      <w:r w:rsidR="00CA0137">
        <w:t xml:space="preserve"> (PEARS </w:t>
      </w:r>
      <w:r w:rsidR="00CD65C4">
        <w:rPr>
          <w:rFonts w:eastAsia="Wingdings"/>
        </w:rPr>
        <w:t>&gt;</w:t>
      </w:r>
      <w:r w:rsidR="00CA0137">
        <w:t xml:space="preserve"> Track </w:t>
      </w:r>
      <w:r w:rsidR="00CD65C4">
        <w:rPr>
          <w:rFonts w:eastAsia="Wingdings"/>
        </w:rPr>
        <w:t>&gt;</w:t>
      </w:r>
      <w:r w:rsidR="00CA0137">
        <w:t xml:space="preserve"> PSE Site Activities)</w:t>
      </w:r>
      <w:r>
        <w:t>:</w:t>
      </w:r>
    </w:p>
    <w:p w14:paraId="7AC5B001" w14:textId="271A5706" w:rsidR="00CD65C4" w:rsidRPr="00CD65C4" w:rsidRDefault="37C51FA6" w:rsidP="00CD65C4">
      <w:pPr>
        <w:pStyle w:val="ListParagraph"/>
        <w:numPr>
          <w:ilvl w:val="0"/>
          <w:numId w:val="9"/>
        </w:numPr>
        <w:rPr>
          <w:rFonts w:asciiTheme="majorHAnsi" w:hAnsiTheme="majorHAnsi" w:cstheme="majorBidi"/>
        </w:rPr>
      </w:pPr>
      <w:r w:rsidRPr="00CD65C4">
        <w:rPr>
          <w:rFonts w:asciiTheme="majorHAnsi" w:hAnsiTheme="majorHAnsi" w:cstheme="majorBidi"/>
        </w:rPr>
        <w:t xml:space="preserve">Select </w:t>
      </w:r>
      <w:r w:rsidRPr="00CD65C4">
        <w:rPr>
          <w:rFonts w:asciiTheme="majorHAnsi" w:hAnsiTheme="majorHAnsi" w:cstheme="majorBidi"/>
          <w:b/>
          <w:bCs/>
        </w:rPr>
        <w:t>Strategy</w:t>
      </w:r>
      <w:r w:rsidRPr="00CD65C4">
        <w:rPr>
          <w:rFonts w:asciiTheme="majorHAnsi" w:hAnsiTheme="majorHAnsi" w:cstheme="majorBidi"/>
        </w:rPr>
        <w:t xml:space="preserve"> from the right-side toolbar (see screenshot below)</w:t>
      </w:r>
    </w:p>
    <w:p w14:paraId="1B033757" w14:textId="77777777" w:rsidR="00CD65C4" w:rsidRDefault="37C51FA6" w:rsidP="00CD65C4">
      <w:pPr>
        <w:pStyle w:val="ListParagraph"/>
        <w:numPr>
          <w:ilvl w:val="0"/>
          <w:numId w:val="8"/>
        </w:numPr>
        <w:rPr>
          <w:rFonts w:asciiTheme="majorHAnsi" w:hAnsiTheme="majorHAnsi" w:cstheme="majorBidi"/>
        </w:rPr>
      </w:pPr>
      <w:r w:rsidRPr="00CD65C4">
        <w:rPr>
          <w:rFonts w:asciiTheme="majorHAnsi" w:hAnsiTheme="majorHAnsi" w:cstheme="majorBidi"/>
        </w:rPr>
        <w:t xml:space="preserve">If youth were actively involved in shaping this PSE, select </w:t>
      </w:r>
      <w:proofErr w:type="gramStart"/>
      <w:r w:rsidRPr="00CD65C4">
        <w:rPr>
          <w:rFonts w:asciiTheme="majorHAnsi" w:hAnsiTheme="majorHAnsi" w:cstheme="majorBidi"/>
          <w:b/>
          <w:bCs/>
        </w:rPr>
        <w:t>Yes</w:t>
      </w:r>
      <w:proofErr w:type="gramEnd"/>
      <w:r w:rsidRPr="00CD65C4">
        <w:rPr>
          <w:rFonts w:asciiTheme="majorHAnsi" w:hAnsiTheme="majorHAnsi" w:cstheme="majorBidi"/>
        </w:rPr>
        <w:t xml:space="preserve"> from the dropdown; then indicate the number of youth actively involved in </w:t>
      </w:r>
      <w:r w:rsidRPr="00CD65C4">
        <w:rPr>
          <w:rFonts w:asciiTheme="majorHAnsi" w:hAnsiTheme="majorHAnsi" w:cstheme="majorBidi"/>
          <w:b/>
          <w:bCs/>
          <w:i/>
          <w:iCs/>
        </w:rPr>
        <w:t>shaping</w:t>
      </w:r>
      <w:r w:rsidRPr="00CD65C4">
        <w:rPr>
          <w:rFonts w:asciiTheme="majorHAnsi" w:hAnsiTheme="majorHAnsi" w:cstheme="majorBidi"/>
        </w:rPr>
        <w:t xml:space="preserve"> the PSE (this is </w:t>
      </w:r>
      <w:r w:rsidRPr="00CD65C4">
        <w:rPr>
          <w:rFonts w:asciiTheme="majorHAnsi" w:hAnsiTheme="majorHAnsi" w:cstheme="majorBidi"/>
          <w:u w:val="single"/>
        </w:rPr>
        <w:t>not</w:t>
      </w:r>
      <w:r w:rsidRPr="00CD65C4">
        <w:rPr>
          <w:rFonts w:asciiTheme="majorHAnsi" w:hAnsiTheme="majorHAnsi" w:cstheme="majorBidi"/>
        </w:rPr>
        <w:t xml:space="preserve"> the number of youth reached by the PSE). </w:t>
      </w:r>
    </w:p>
    <w:p w14:paraId="3EE74692" w14:textId="698128B3" w:rsidR="0069561F" w:rsidRPr="00CD65C4" w:rsidRDefault="37C51FA6" w:rsidP="00CD65C4">
      <w:pPr>
        <w:pStyle w:val="ListParagraph"/>
        <w:numPr>
          <w:ilvl w:val="0"/>
          <w:numId w:val="8"/>
        </w:numPr>
        <w:rPr>
          <w:rFonts w:asciiTheme="majorHAnsi" w:hAnsiTheme="majorHAnsi" w:cstheme="majorBidi"/>
        </w:rPr>
      </w:pPr>
      <w:r w:rsidRPr="00CD65C4">
        <w:rPr>
          <w:rFonts w:asciiTheme="majorHAnsi" w:hAnsiTheme="majorHAnsi" w:cstheme="majorBidi"/>
        </w:rPr>
        <w:t>If implementing YPAR, please also select YPAR as a Program, Package, or Initiative in the Strategy section.</w:t>
      </w:r>
    </w:p>
    <w:p w14:paraId="78CEE6E0" w14:textId="5FED87D3" w:rsidR="0069561F" w:rsidRDefault="0069561F" w:rsidP="00CD65C4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BD54E4" w:rsidRPr="0069561F">
        <w:rPr>
          <w:rFonts w:asciiTheme="majorHAnsi" w:hAnsiTheme="majorHAnsi" w:cstheme="majorHAnsi"/>
          <w:noProof/>
        </w:rPr>
        <w:drawing>
          <wp:inline distT="0" distB="0" distL="0" distR="0" wp14:anchorId="0C28CE8C" wp14:editId="6840058C">
            <wp:extent cx="4153469" cy="1316736"/>
            <wp:effectExtent l="19050" t="19050" r="19050" b="17145"/>
            <wp:docPr id="1026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image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" r="2202" b="144"/>
                    <a:stretch/>
                  </pic:blipFill>
                  <pic:spPr bwMode="auto">
                    <a:xfrm>
                      <a:off x="0" y="0"/>
                      <a:ext cx="4153469" cy="131673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C4">
        <w:rPr>
          <w:rFonts w:asciiTheme="majorHAnsi" w:hAnsiTheme="majorHAnsi" w:cstheme="majorHAnsi"/>
        </w:rPr>
        <w:tab/>
      </w:r>
      <w:r w:rsidR="00CD65C4">
        <w:rPr>
          <w:rFonts w:asciiTheme="majorHAnsi" w:hAnsiTheme="majorHAnsi" w:cstheme="majorHAnsi"/>
        </w:rPr>
        <w:tab/>
      </w:r>
      <w:r w:rsidR="00CD65C4" w:rsidRPr="0069561F">
        <w:rPr>
          <w:rFonts w:asciiTheme="majorHAnsi" w:hAnsiTheme="majorHAnsi" w:cstheme="majorHAnsi"/>
          <w:noProof/>
        </w:rPr>
        <w:drawing>
          <wp:inline distT="0" distB="0" distL="0" distR="0" wp14:anchorId="089F0311" wp14:editId="574563B0">
            <wp:extent cx="1450756" cy="1316736"/>
            <wp:effectExtent l="19050" t="19050" r="16510" b="17145"/>
            <wp:docPr id="1028" name="Picture 5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5" descr="image00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8" b="5463"/>
                    <a:stretch/>
                  </pic:blipFill>
                  <pic:spPr bwMode="auto">
                    <a:xfrm>
                      <a:off x="0" y="0"/>
                      <a:ext cx="1450756" cy="131673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02410" w14:textId="1D406B3A" w:rsidR="00051A2B" w:rsidRDefault="00051A2B" w:rsidP="00CD65C4">
      <w:pPr>
        <w:pStyle w:val="NoSpacing"/>
      </w:pPr>
      <w:r>
        <w:t>*To report interventions impacted by COVID-19 please follow the guidance outlined in the documents below:</w:t>
      </w:r>
    </w:p>
    <w:p w14:paraId="4B5E4139" w14:textId="11276B8C" w:rsidR="00051A2B" w:rsidRDefault="006342D3" w:rsidP="00CD65C4">
      <w:pPr>
        <w:pStyle w:val="NoSpacing"/>
        <w:spacing w:line="360" w:lineRule="auto"/>
        <w:rPr>
          <w:rFonts w:asciiTheme="majorHAnsi" w:hAnsiTheme="majorHAnsi" w:cstheme="majorHAnsi"/>
        </w:rPr>
      </w:pPr>
      <w:hyperlink r:id="rId14" w:history="1">
        <w:r w:rsidR="00EB0A03" w:rsidRPr="00EB0A03">
          <w:rPr>
            <w:rStyle w:val="Hyperlink"/>
            <w:rFonts w:asciiTheme="majorHAnsi" w:hAnsiTheme="majorHAnsi" w:cstheme="majorHAnsi"/>
          </w:rPr>
          <w:t>Delivery &amp; Reporting Guidelines: Distance learning during COVID-19</w:t>
        </w:r>
      </w:hyperlink>
    </w:p>
    <w:p w14:paraId="6D29BD3B" w14:textId="674703D5" w:rsidR="00EB0A03" w:rsidRPr="0069561F" w:rsidRDefault="006342D3" w:rsidP="0069561F">
      <w:pPr>
        <w:rPr>
          <w:rFonts w:asciiTheme="majorHAnsi" w:hAnsiTheme="majorHAnsi" w:cstheme="majorHAnsi"/>
        </w:rPr>
      </w:pPr>
      <w:hyperlink r:id="rId15" w:history="1">
        <w:r w:rsidR="00EB0A03" w:rsidRPr="00EB0A03">
          <w:rPr>
            <w:rStyle w:val="Hyperlink"/>
            <w:rFonts w:asciiTheme="majorHAnsi" w:hAnsiTheme="majorHAnsi" w:cstheme="majorHAnsi"/>
          </w:rPr>
          <w:t>Capturing Interventions Impacted by COVID-19 in PEARS</w:t>
        </w:r>
      </w:hyperlink>
    </w:p>
    <w:sectPr w:rsidR="00EB0A03" w:rsidRPr="0069561F" w:rsidSect="00592244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A6AE" w14:textId="77777777" w:rsidR="006342D3" w:rsidRDefault="006342D3" w:rsidP="003300F2">
      <w:pPr>
        <w:spacing w:after="0" w:line="240" w:lineRule="auto"/>
      </w:pPr>
      <w:r>
        <w:separator/>
      </w:r>
    </w:p>
  </w:endnote>
  <w:endnote w:type="continuationSeparator" w:id="0">
    <w:p w14:paraId="019EFCA4" w14:textId="77777777" w:rsidR="006342D3" w:rsidRDefault="006342D3" w:rsidP="0033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E2B3" w14:textId="5BAF3D60" w:rsidR="00BD392E" w:rsidRPr="0072748A" w:rsidRDefault="00BD392E" w:rsidP="00BD392E">
    <w:pPr>
      <w:pStyle w:val="Footer"/>
      <w:pBdr>
        <w:top w:val="single" w:sz="24" w:space="1" w:color="0093D0"/>
      </w:pBdr>
      <w:spacing w:after="60"/>
      <w:jc w:val="center"/>
      <w:rPr>
        <w:rFonts w:ascii="Arial" w:hAnsi="Arial" w:cs="Arial"/>
        <w:color w:val="44546A" w:themeColor="text2"/>
        <w:sz w:val="14"/>
      </w:rPr>
    </w:pPr>
    <w:r w:rsidRPr="000F1895">
      <w:rPr>
        <w:rFonts w:ascii="Arial" w:hAnsi="Arial" w:cs="Arial"/>
        <w:sz w:val="14"/>
      </w:rPr>
      <w:ptab w:relativeTo="margin" w:alignment="center" w:leader="none"/>
    </w:r>
    <w:sdt>
      <w:sdtPr>
        <w:rPr>
          <w:rFonts w:ascii="Arial" w:hAnsi="Arial" w:cs="Arial"/>
          <w:sz w:val="14"/>
        </w:rPr>
        <w:id w:val="691192045"/>
        <w:docPartObj>
          <w:docPartGallery w:val="Page Numbers (Top of Page)"/>
          <w:docPartUnique/>
        </w:docPartObj>
      </w:sdtPr>
      <w:sdtEndPr>
        <w:rPr>
          <w:color w:val="44546A" w:themeColor="text2"/>
        </w:rPr>
      </w:sdtEndPr>
      <w:sdtContent>
        <w:r w:rsidRPr="0072748A">
          <w:rPr>
            <w:rFonts w:ascii="Arial" w:hAnsi="Arial" w:cs="Arial"/>
            <w:color w:val="44546A" w:themeColor="text2"/>
            <w:sz w:val="14"/>
          </w:rPr>
          <w:t xml:space="preserve">Page 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begin"/>
        </w:r>
        <w:r w:rsidRPr="0072748A">
          <w:rPr>
            <w:rFonts w:ascii="Arial" w:hAnsi="Arial" w:cs="Arial"/>
            <w:b/>
            <w:bCs/>
            <w:color w:val="44546A" w:themeColor="text2"/>
            <w:sz w:val="14"/>
          </w:rPr>
          <w:instrText xml:space="preserve"> PAGE </w:instrTex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separate"/>
        </w:r>
        <w:r w:rsidR="00894E45">
          <w:rPr>
            <w:rFonts w:ascii="Arial" w:hAnsi="Arial" w:cs="Arial"/>
            <w:b/>
            <w:bCs/>
            <w:noProof/>
            <w:color w:val="44546A" w:themeColor="text2"/>
            <w:sz w:val="14"/>
          </w:rPr>
          <w:t>2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end"/>
        </w:r>
        <w:r w:rsidRPr="0072748A">
          <w:rPr>
            <w:rFonts w:ascii="Arial" w:hAnsi="Arial" w:cs="Arial"/>
            <w:color w:val="44546A" w:themeColor="text2"/>
            <w:sz w:val="14"/>
          </w:rPr>
          <w:t xml:space="preserve"> of 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begin"/>
        </w:r>
        <w:r w:rsidRPr="0072748A">
          <w:rPr>
            <w:rFonts w:ascii="Arial" w:hAnsi="Arial" w:cs="Arial"/>
            <w:b/>
            <w:bCs/>
            <w:color w:val="44546A" w:themeColor="text2"/>
            <w:sz w:val="14"/>
          </w:rPr>
          <w:instrText xml:space="preserve"> NUMPAGES  </w:instrTex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separate"/>
        </w:r>
        <w:r w:rsidR="00894E45">
          <w:rPr>
            <w:rFonts w:ascii="Arial" w:hAnsi="Arial" w:cs="Arial"/>
            <w:b/>
            <w:bCs/>
            <w:noProof/>
            <w:color w:val="44546A" w:themeColor="text2"/>
            <w:sz w:val="14"/>
          </w:rPr>
          <w:t>2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end"/>
        </w:r>
      </w:sdtContent>
    </w:sdt>
    <w:r w:rsidRPr="0072748A">
      <w:rPr>
        <w:rFonts w:ascii="Arial" w:hAnsi="Arial" w:cs="Arial"/>
        <w:color w:val="44546A" w:themeColor="text2"/>
        <w:sz w:val="14"/>
      </w:rPr>
      <w:t xml:space="preserve"> </w:t>
    </w:r>
    <w:r w:rsidRPr="0072748A">
      <w:rPr>
        <w:rFonts w:ascii="Arial" w:hAnsi="Arial" w:cs="Arial"/>
        <w:color w:val="44546A" w:themeColor="text2"/>
        <w:sz w:val="14"/>
      </w:rPr>
      <w:ptab w:relativeTo="margin" w:alignment="right" w:leader="none"/>
    </w:r>
    <w:r w:rsidRPr="0072748A">
      <w:rPr>
        <w:rFonts w:ascii="Arial" w:hAnsi="Arial" w:cs="Arial"/>
        <w:color w:val="44546A" w:themeColor="text2"/>
        <w:sz w:val="14"/>
      </w:rPr>
      <w:t>Revised:</w:t>
    </w:r>
    <w:r w:rsidR="00C82154">
      <w:rPr>
        <w:rFonts w:ascii="Arial" w:hAnsi="Arial" w:cs="Arial"/>
        <w:color w:val="44546A" w:themeColor="text2"/>
        <w:sz w:val="14"/>
      </w:rPr>
      <w:t xml:space="preserve"> 6/14/20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17F6" w14:textId="60280108" w:rsidR="00BD392E" w:rsidRPr="0072748A" w:rsidRDefault="00BD392E" w:rsidP="003C431C">
    <w:pPr>
      <w:pStyle w:val="Footer"/>
      <w:pBdr>
        <w:top w:val="single" w:sz="24" w:space="0" w:color="1295D8"/>
      </w:pBdr>
      <w:spacing w:after="40"/>
      <w:jc w:val="center"/>
      <w:rPr>
        <w:rFonts w:ascii="Arial" w:hAnsi="Arial" w:cs="Arial"/>
        <w:color w:val="44546A" w:themeColor="text2"/>
        <w:sz w:val="14"/>
      </w:rPr>
    </w:pPr>
    <w:r w:rsidRPr="0072748A">
      <w:rPr>
        <w:rFonts w:ascii="Arial" w:hAnsi="Arial" w:cs="Arial"/>
        <w:color w:val="44546A" w:themeColor="text2"/>
        <w:sz w:val="14"/>
      </w:rPr>
      <w:ptab w:relativeTo="margin" w:alignment="center" w:leader="none"/>
    </w:r>
    <w:sdt>
      <w:sdtPr>
        <w:rPr>
          <w:rFonts w:ascii="Arial" w:hAnsi="Arial" w:cs="Arial"/>
          <w:color w:val="44546A" w:themeColor="text2"/>
          <w:sz w:val="14"/>
        </w:rPr>
        <w:id w:val="-1542581290"/>
        <w:docPartObj>
          <w:docPartGallery w:val="Page Numbers (Top of Page)"/>
          <w:docPartUnique/>
        </w:docPartObj>
      </w:sdtPr>
      <w:sdtEndPr/>
      <w:sdtContent>
        <w:r w:rsidRPr="0072748A">
          <w:rPr>
            <w:rFonts w:ascii="Arial" w:hAnsi="Arial" w:cs="Arial"/>
            <w:color w:val="44546A" w:themeColor="text2"/>
            <w:sz w:val="14"/>
          </w:rPr>
          <w:t xml:space="preserve">Page 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begin"/>
        </w:r>
        <w:r w:rsidRPr="0072748A">
          <w:rPr>
            <w:rFonts w:ascii="Arial" w:hAnsi="Arial" w:cs="Arial"/>
            <w:b/>
            <w:bCs/>
            <w:color w:val="44546A" w:themeColor="text2"/>
            <w:sz w:val="14"/>
          </w:rPr>
          <w:instrText xml:space="preserve"> PAGE </w:instrTex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separate"/>
        </w:r>
        <w:r w:rsidR="00894E45">
          <w:rPr>
            <w:rFonts w:ascii="Arial" w:hAnsi="Arial" w:cs="Arial"/>
            <w:b/>
            <w:bCs/>
            <w:noProof/>
            <w:color w:val="44546A" w:themeColor="text2"/>
            <w:sz w:val="14"/>
          </w:rPr>
          <w:t>1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end"/>
        </w:r>
        <w:r w:rsidRPr="0072748A">
          <w:rPr>
            <w:rFonts w:ascii="Arial" w:hAnsi="Arial" w:cs="Arial"/>
            <w:color w:val="44546A" w:themeColor="text2"/>
            <w:sz w:val="14"/>
          </w:rPr>
          <w:t xml:space="preserve"> of 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begin"/>
        </w:r>
        <w:r w:rsidRPr="0072748A">
          <w:rPr>
            <w:rFonts w:ascii="Arial" w:hAnsi="Arial" w:cs="Arial"/>
            <w:b/>
            <w:bCs/>
            <w:color w:val="44546A" w:themeColor="text2"/>
            <w:sz w:val="14"/>
          </w:rPr>
          <w:instrText xml:space="preserve"> NUMPAGES  </w:instrTex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separate"/>
        </w:r>
        <w:r w:rsidR="00894E45">
          <w:rPr>
            <w:rFonts w:ascii="Arial" w:hAnsi="Arial" w:cs="Arial"/>
            <w:b/>
            <w:bCs/>
            <w:noProof/>
            <w:color w:val="44546A" w:themeColor="text2"/>
            <w:sz w:val="14"/>
          </w:rPr>
          <w:t>2</w:t>
        </w:r>
        <w:r w:rsidRPr="0072748A">
          <w:rPr>
            <w:rFonts w:ascii="Arial" w:hAnsi="Arial" w:cs="Arial"/>
            <w:b/>
            <w:bCs/>
            <w:color w:val="44546A" w:themeColor="text2"/>
            <w:sz w:val="16"/>
            <w:szCs w:val="24"/>
          </w:rPr>
          <w:fldChar w:fldCharType="end"/>
        </w:r>
      </w:sdtContent>
    </w:sdt>
    <w:r w:rsidRPr="0072748A">
      <w:rPr>
        <w:rFonts w:ascii="Arial" w:hAnsi="Arial" w:cs="Arial"/>
        <w:color w:val="44546A" w:themeColor="text2"/>
        <w:sz w:val="14"/>
      </w:rPr>
      <w:t xml:space="preserve"> </w:t>
    </w:r>
    <w:r w:rsidRPr="0072748A">
      <w:rPr>
        <w:rFonts w:ascii="Arial" w:hAnsi="Arial" w:cs="Arial"/>
        <w:color w:val="44546A" w:themeColor="text2"/>
        <w:sz w:val="14"/>
      </w:rPr>
      <w:ptab w:relativeTo="margin" w:alignment="right" w:leader="none"/>
    </w:r>
    <w:r w:rsidRPr="0072748A">
      <w:rPr>
        <w:rFonts w:ascii="Arial" w:hAnsi="Arial" w:cs="Arial"/>
        <w:color w:val="44546A" w:themeColor="text2"/>
        <w:sz w:val="14"/>
      </w:rPr>
      <w:t xml:space="preserve">Revised: </w:t>
    </w:r>
    <w:r w:rsidR="00C82154">
      <w:rPr>
        <w:rFonts w:ascii="Arial" w:hAnsi="Arial" w:cs="Arial"/>
        <w:color w:val="44546A" w:themeColor="text2"/>
        <w:sz w:val="14"/>
      </w:rPr>
      <w:t>6/14/20</w:t>
    </w:r>
  </w:p>
  <w:p w14:paraId="48EBEDF1" w14:textId="77777777" w:rsidR="00E31365" w:rsidRDefault="00E31365" w:rsidP="00E31365">
    <w:pPr>
      <w:pStyle w:val="Footer"/>
      <w:pBdr>
        <w:top w:val="single" w:sz="24" w:space="0" w:color="1295D8"/>
      </w:pBdr>
      <w:jc w:val="center"/>
      <w:rPr>
        <w:color w:val="1A1A1A"/>
        <w:sz w:val="16"/>
        <w:szCs w:val="23"/>
      </w:rPr>
    </w:pPr>
    <w:r w:rsidRPr="00B56073">
      <w:rPr>
        <w:color w:val="1A1A1A"/>
        <w:sz w:val="16"/>
        <w:szCs w:val="23"/>
      </w:rPr>
      <w:t xml:space="preserve">California's CalFresh Healthy Living, with funding from the United States Department of Agriculture’s Supplemental Nutrition Assistance Program – USDA SNAP, produced this material. These institutions are equal opportunity providers and employers. For important nutrition information, visit </w:t>
    </w:r>
    <w:hyperlink r:id="rId1" w:history="1">
      <w:r w:rsidRPr="00F219EC">
        <w:rPr>
          <w:rStyle w:val="Hyperlink"/>
          <w:sz w:val="16"/>
          <w:szCs w:val="23"/>
        </w:rPr>
        <w:t>www.CalFreshHealthyLiving.org</w:t>
      </w:r>
    </w:hyperlink>
    <w:r w:rsidRPr="00B56073">
      <w:rPr>
        <w:color w:val="1A1A1A"/>
        <w:sz w:val="16"/>
        <w:szCs w:val="23"/>
      </w:rPr>
      <w:t>.</w:t>
    </w:r>
  </w:p>
  <w:p w14:paraId="1E140B86" w14:textId="77777777" w:rsidR="00E31365" w:rsidRPr="00AC2583" w:rsidRDefault="00E31365" w:rsidP="00E31365">
    <w:pPr>
      <w:pStyle w:val="Footer"/>
      <w:pBdr>
        <w:top w:val="single" w:sz="24" w:space="0" w:color="1295D8"/>
      </w:pBdr>
      <w:jc w:val="center"/>
      <w:rPr>
        <w:rFonts w:ascii="Arial" w:hAnsi="Arial" w:cs="Arial"/>
        <w:sz w:val="10"/>
      </w:rPr>
    </w:pPr>
    <w:r w:rsidRPr="00B56073">
      <w:rPr>
        <w:color w:val="1A1A1A"/>
        <w:sz w:val="16"/>
        <w:szCs w:val="23"/>
      </w:rPr>
      <w:t xml:space="preserve"> </w:t>
    </w:r>
    <w:r w:rsidRPr="00AC2583">
      <w:rPr>
        <w:rFonts w:ascii="Arial" w:hAnsi="Arial" w:cs="Arial"/>
        <w:color w:val="DBD5CD"/>
        <w:sz w:val="10"/>
      </w:rPr>
      <w:fldChar w:fldCharType="begin"/>
    </w:r>
    <w:r w:rsidRPr="00AC2583">
      <w:rPr>
        <w:rFonts w:ascii="Arial" w:hAnsi="Arial" w:cs="Arial"/>
        <w:color w:val="DBD5CD"/>
        <w:sz w:val="10"/>
      </w:rPr>
      <w:instrText xml:space="preserve"> FILENAME  \* Upper \p  \* MERGEFORMAT </w:instrText>
    </w:r>
    <w:r w:rsidRPr="00AC2583">
      <w:rPr>
        <w:rFonts w:ascii="Arial" w:hAnsi="Arial" w:cs="Arial"/>
        <w:color w:val="DBD5CD"/>
        <w:sz w:val="10"/>
      </w:rPr>
      <w:fldChar w:fldCharType="separate"/>
    </w:r>
    <w:r>
      <w:rPr>
        <w:rFonts w:ascii="Arial" w:hAnsi="Arial" w:cs="Arial"/>
        <w:noProof/>
        <w:color w:val="DBD5CD"/>
        <w:sz w:val="10"/>
      </w:rPr>
      <w:t>DOCUMENT2</w:t>
    </w:r>
    <w:r w:rsidRPr="00AC2583">
      <w:rPr>
        <w:rFonts w:ascii="Arial" w:hAnsi="Arial" w:cs="Arial"/>
        <w:color w:val="DBD5CD"/>
        <w:sz w:val="10"/>
      </w:rPr>
      <w:fldChar w:fldCharType="end"/>
    </w:r>
  </w:p>
  <w:p w14:paraId="020AC669" w14:textId="77777777" w:rsidR="00AC2583" w:rsidRPr="003B1F41" w:rsidRDefault="00AC2583" w:rsidP="00E31365">
    <w:pPr>
      <w:pStyle w:val="Footer"/>
      <w:pBdr>
        <w:top w:val="single" w:sz="24" w:space="0" w:color="1295D8"/>
      </w:pBd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3275" w14:textId="77777777" w:rsidR="006342D3" w:rsidRDefault="006342D3" w:rsidP="003300F2">
      <w:pPr>
        <w:spacing w:after="0" w:line="240" w:lineRule="auto"/>
      </w:pPr>
      <w:r>
        <w:separator/>
      </w:r>
    </w:p>
  </w:footnote>
  <w:footnote w:type="continuationSeparator" w:id="0">
    <w:p w14:paraId="3FCE7F52" w14:textId="77777777" w:rsidR="006342D3" w:rsidRDefault="006342D3" w:rsidP="0033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6B58" w14:textId="77777777" w:rsidR="00BD392E" w:rsidRPr="000F1895" w:rsidRDefault="00BD392E" w:rsidP="00BD392E">
    <w:pPr>
      <w:pStyle w:val="Header"/>
      <w:pBdr>
        <w:bottom w:val="single" w:sz="24" w:space="1" w:color="0093D0"/>
      </w:pBd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B77A" w14:textId="77777777" w:rsidR="00BD392E" w:rsidRDefault="005C4DF9" w:rsidP="005C4DF9">
    <w:pPr>
      <w:pStyle w:val="Header"/>
      <w:pBdr>
        <w:bottom w:val="single" w:sz="24" w:space="0" w:color="1295D8"/>
      </w:pBdr>
    </w:pPr>
    <w:r>
      <w:rPr>
        <w:noProof/>
      </w:rPr>
      <w:drawing>
        <wp:inline distT="0" distB="0" distL="0" distR="0" wp14:anchorId="30F7545C" wp14:editId="1B6C0D0A">
          <wp:extent cx="2895600" cy="628015"/>
          <wp:effectExtent l="0" t="0" r="0" b="635"/>
          <wp:docPr id="1" name="Picture 1" title="CalFresh Healthy Living,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Fresh_logo_cmyk - 300 p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8" t="24160" r="7186" b="26019"/>
                  <a:stretch/>
                </pic:blipFill>
                <pic:spPr bwMode="auto">
                  <a:xfrm>
                    <a:off x="0" y="0"/>
                    <a:ext cx="2898643" cy="6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5CAAFC" w14:textId="77777777" w:rsidR="00BD392E" w:rsidRPr="000F1895" w:rsidRDefault="00BD392E" w:rsidP="005C4DF9">
    <w:pPr>
      <w:pStyle w:val="Header"/>
      <w:pBdr>
        <w:bottom w:val="single" w:sz="24" w:space="0" w:color="1295D8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872"/>
    <w:multiLevelType w:val="hybridMultilevel"/>
    <w:tmpl w:val="6BD08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D22CB"/>
    <w:multiLevelType w:val="hybridMultilevel"/>
    <w:tmpl w:val="DD547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124"/>
    <w:multiLevelType w:val="hybridMultilevel"/>
    <w:tmpl w:val="1006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1331"/>
    <w:multiLevelType w:val="hybridMultilevel"/>
    <w:tmpl w:val="085E7E08"/>
    <w:lvl w:ilvl="0" w:tplc="6600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C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63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C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40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1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A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29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E32C82"/>
    <w:multiLevelType w:val="hybridMultilevel"/>
    <w:tmpl w:val="8754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6D1"/>
    <w:multiLevelType w:val="hybridMultilevel"/>
    <w:tmpl w:val="7EE2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0D5"/>
    <w:multiLevelType w:val="hybridMultilevel"/>
    <w:tmpl w:val="DAD8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071F"/>
    <w:multiLevelType w:val="hybridMultilevel"/>
    <w:tmpl w:val="A1B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1161A"/>
    <w:multiLevelType w:val="hybridMultilevel"/>
    <w:tmpl w:val="515A5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E5153"/>
    <w:multiLevelType w:val="hybridMultilevel"/>
    <w:tmpl w:val="2776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6A"/>
    <w:rsid w:val="00045486"/>
    <w:rsid w:val="00051A2B"/>
    <w:rsid w:val="00052B5A"/>
    <w:rsid w:val="000F1895"/>
    <w:rsid w:val="001373BB"/>
    <w:rsid w:val="0018481E"/>
    <w:rsid w:val="00186976"/>
    <w:rsid w:val="001A7FA1"/>
    <w:rsid w:val="001B49D9"/>
    <w:rsid w:val="001E6923"/>
    <w:rsid w:val="002A2D30"/>
    <w:rsid w:val="002B0F89"/>
    <w:rsid w:val="003300F2"/>
    <w:rsid w:val="0036775D"/>
    <w:rsid w:val="003677C3"/>
    <w:rsid w:val="00395B59"/>
    <w:rsid w:val="003B1F41"/>
    <w:rsid w:val="003C431C"/>
    <w:rsid w:val="003F4196"/>
    <w:rsid w:val="00436E68"/>
    <w:rsid w:val="00467FBE"/>
    <w:rsid w:val="004A57E8"/>
    <w:rsid w:val="004C101D"/>
    <w:rsid w:val="004D2137"/>
    <w:rsid w:val="004D3DCB"/>
    <w:rsid w:val="005318F2"/>
    <w:rsid w:val="00532A09"/>
    <w:rsid w:val="00547502"/>
    <w:rsid w:val="0057081D"/>
    <w:rsid w:val="00592244"/>
    <w:rsid w:val="005C4DF9"/>
    <w:rsid w:val="005C71A6"/>
    <w:rsid w:val="005D4514"/>
    <w:rsid w:val="005E318C"/>
    <w:rsid w:val="005F4C3A"/>
    <w:rsid w:val="00615FB5"/>
    <w:rsid w:val="006342D3"/>
    <w:rsid w:val="00665780"/>
    <w:rsid w:val="00665E56"/>
    <w:rsid w:val="0069561F"/>
    <w:rsid w:val="00715487"/>
    <w:rsid w:val="0072748A"/>
    <w:rsid w:val="00747466"/>
    <w:rsid w:val="0078765D"/>
    <w:rsid w:val="0079509E"/>
    <w:rsid w:val="00850512"/>
    <w:rsid w:val="00863E09"/>
    <w:rsid w:val="008664DD"/>
    <w:rsid w:val="00890F06"/>
    <w:rsid w:val="00894E45"/>
    <w:rsid w:val="00911D75"/>
    <w:rsid w:val="00927648"/>
    <w:rsid w:val="009338F8"/>
    <w:rsid w:val="009537E5"/>
    <w:rsid w:val="00966477"/>
    <w:rsid w:val="009779E6"/>
    <w:rsid w:val="009F40A0"/>
    <w:rsid w:val="00A66833"/>
    <w:rsid w:val="00A77936"/>
    <w:rsid w:val="00A804C4"/>
    <w:rsid w:val="00A8585F"/>
    <w:rsid w:val="00A930DA"/>
    <w:rsid w:val="00AA1A48"/>
    <w:rsid w:val="00AC2583"/>
    <w:rsid w:val="00AD4C9D"/>
    <w:rsid w:val="00AE66DD"/>
    <w:rsid w:val="00AF6F9B"/>
    <w:rsid w:val="00B044C6"/>
    <w:rsid w:val="00B20DDD"/>
    <w:rsid w:val="00B225BC"/>
    <w:rsid w:val="00B737F4"/>
    <w:rsid w:val="00B93727"/>
    <w:rsid w:val="00B95D5F"/>
    <w:rsid w:val="00BD392E"/>
    <w:rsid w:val="00BD54E4"/>
    <w:rsid w:val="00BE7C48"/>
    <w:rsid w:val="00BF662F"/>
    <w:rsid w:val="00C102EC"/>
    <w:rsid w:val="00C2101B"/>
    <w:rsid w:val="00C42DBC"/>
    <w:rsid w:val="00C71540"/>
    <w:rsid w:val="00C82154"/>
    <w:rsid w:val="00CA0137"/>
    <w:rsid w:val="00CD65C4"/>
    <w:rsid w:val="00D6216A"/>
    <w:rsid w:val="00D82AE9"/>
    <w:rsid w:val="00D86992"/>
    <w:rsid w:val="00DA1D9D"/>
    <w:rsid w:val="00DA75D2"/>
    <w:rsid w:val="00E007F4"/>
    <w:rsid w:val="00E31365"/>
    <w:rsid w:val="00E56AF6"/>
    <w:rsid w:val="00EA1393"/>
    <w:rsid w:val="00EA3D03"/>
    <w:rsid w:val="00EB0A03"/>
    <w:rsid w:val="00EC3FD7"/>
    <w:rsid w:val="00EC5265"/>
    <w:rsid w:val="00ED56EA"/>
    <w:rsid w:val="00EE2719"/>
    <w:rsid w:val="00EF7E6D"/>
    <w:rsid w:val="00F43E57"/>
    <w:rsid w:val="00FF77DF"/>
    <w:rsid w:val="1DBF3E26"/>
    <w:rsid w:val="27418428"/>
    <w:rsid w:val="2EFAAA8B"/>
    <w:rsid w:val="37C51FA6"/>
    <w:rsid w:val="3DA1A1D4"/>
    <w:rsid w:val="74A78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997BB"/>
  <w15:docId w15:val="{68F4D076-FD01-4D52-870D-05037EF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57"/>
  </w:style>
  <w:style w:type="paragraph" w:styleId="Heading1">
    <w:name w:val="heading 1"/>
    <w:basedOn w:val="Normal"/>
    <w:next w:val="Normal"/>
    <w:link w:val="Heading1Char"/>
    <w:uiPriority w:val="9"/>
    <w:qFormat/>
    <w:rsid w:val="00CD6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1F6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F2"/>
  </w:style>
  <w:style w:type="paragraph" w:styleId="Footer">
    <w:name w:val="footer"/>
    <w:basedOn w:val="Normal"/>
    <w:link w:val="FooterChar"/>
    <w:uiPriority w:val="99"/>
    <w:unhideWhenUsed/>
    <w:rsid w:val="0033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F2"/>
  </w:style>
  <w:style w:type="paragraph" w:styleId="BalloonText">
    <w:name w:val="Balloon Text"/>
    <w:basedOn w:val="Normal"/>
    <w:link w:val="BalloonTextChar"/>
    <w:uiPriority w:val="99"/>
    <w:semiHidden/>
    <w:unhideWhenUsed/>
    <w:rsid w:val="0033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E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365"/>
    <w:rPr>
      <w:color w:val="0357A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B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F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0D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65C4"/>
    <w:rPr>
      <w:rFonts w:asciiTheme="majorHAnsi" w:eastAsiaTheme="majorEastAsia" w:hAnsiTheme="majorHAnsi" w:cstheme="majorBidi"/>
      <w:color w:val="521F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calfresh.ucdavis.edu/pears/program_D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dss.ca.gov/Portals/9/CAFSP/CalFresh/PEARS/Guidelines-for-Entering-Interventions-Impacted-by-COVID-19-in-PEARS.pdf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ccalfresh.ucdavis.edu/pears/pse" TargetMode="External"/><Relationship Id="rId14" Type="http://schemas.openxmlformats.org/officeDocument/2006/relationships/hyperlink" Target="https://word-view.officeapps.live.com/wv/WordViewer/request.pdf?WOPIsrc=https%3A%2F%2Fattachments%2Eoffice%2Enet%3A443%2Fowa%2Fwopi%2Ffiles%2F68cac5fd%2D4dea%2D4fcc%2D84a8%2D250a1099e865%40ucdavis%2Eedu%2FAAMkADY4Y2FjNWZkLTRkZWEtNGZjYy04NGE4LTI1MGExMDk5ZTg2NQBGAAAAAACGZFEzIyNNQ4hOFuHwoGn1BwDm6zCYUNeTSIzgDZ1%2EVg2hAAAAX0etAADzLPVSbhA5ToEk0%2EAalVimAARNizFmAAABEgAQAI5DeXpGU4ZLrRA49m9YDas%3D%5FtbwNGuAQ2AgBAQAAAAA%3D%3Fpostmessageorigin%3Dhttps%253a%252f%252foutlook%2Eoffice%2Ecom%252f%26ui%3Den%2DUS&amp;&amp;&amp;z=fQ0rvBuy%2BPuF2IKRa329hK25l2YMzJl8PwW8ewwq0Bk%3D&amp;type=printpdf&amp;usid=e31cc732-9b69-4f50-a51d-617b863646f0&amp;build=16.0.13008.41009&amp;waccluster=US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reshHealthyLiv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CalFresh Healthy Living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F2A83"/>
      </a:accent1>
      <a:accent2>
        <a:srgbClr val="8AC43E"/>
      </a:accent2>
      <a:accent3>
        <a:srgbClr val="08934C"/>
      </a:accent3>
      <a:accent4>
        <a:srgbClr val="EA1F26"/>
      </a:accent4>
      <a:accent5>
        <a:srgbClr val="AE292F"/>
      </a:accent5>
      <a:accent6>
        <a:srgbClr val="2A378E"/>
      </a:accent6>
      <a:hlink>
        <a:srgbClr val="0357AB"/>
      </a:hlink>
      <a:folHlink>
        <a:srgbClr val="82456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lFresh Healthy Living Theme" id="{137A7450-6CBD-4E3F-A6FB-F608B066CFFC}" vid="{842DAFAF-9C79-482A-8250-0F19F9D57E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BFF3-A51E-4E28-89FC-97C63DFF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Galvan</dc:creator>
  <cp:lastModifiedBy>CFHL, UC</cp:lastModifiedBy>
  <cp:revision>2</cp:revision>
  <dcterms:created xsi:type="dcterms:W3CDTF">2020-08-20T22:30:00Z</dcterms:created>
  <dcterms:modified xsi:type="dcterms:W3CDTF">2020-08-20T22:30:00Z</dcterms:modified>
</cp:coreProperties>
</file>